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9773" w14:textId="77777777" w:rsidR="00123371" w:rsidRDefault="00123371">
      <w:pPr>
        <w:widowControl/>
        <w:rPr>
          <w:rFonts w:ascii="Calibri" w:eastAsia="Calibri" w:hAnsi="Calibri" w:cs="Calibri"/>
          <w:sz w:val="20"/>
          <w:szCs w:val="20"/>
        </w:rPr>
      </w:pPr>
    </w:p>
    <w:p w14:paraId="7C0CC9F7" w14:textId="47300A97" w:rsidR="00123371" w:rsidRDefault="009225B3" w:rsidP="005305E4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42"/>
          <w:szCs w:val="42"/>
        </w:rPr>
        <w:t xml:space="preserve"> Sustainable Development Policy</w:t>
      </w:r>
    </w:p>
    <w:p w14:paraId="11AD15AC" w14:textId="3567E7C9" w:rsidR="00123371" w:rsidRDefault="009225B3">
      <w:pPr>
        <w:widowControl/>
        <w:rPr>
          <w:rFonts w:ascii="Calibri" w:eastAsia="Calibri" w:hAnsi="Calibri" w:cs="Calibri"/>
          <w:color w:val="343434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33BD594" wp14:editId="297D307C">
                <wp:simplePos x="0" y="0"/>
                <wp:positionH relativeFrom="page">
                  <wp:posOffset>16511</wp:posOffset>
                </wp:positionH>
                <wp:positionV relativeFrom="page">
                  <wp:posOffset>608966</wp:posOffset>
                </wp:positionV>
                <wp:extent cx="31750" cy="31750"/>
                <wp:effectExtent l="0" t="0" r="0" b="0"/>
                <wp:wrapNone/>
                <wp:docPr id="2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16511</wp:posOffset>
                </wp:positionH>
                <wp:positionV relativeFrom="page">
                  <wp:posOffset>608966</wp:posOffset>
                </wp:positionV>
                <wp:extent cx="31750" cy="31750"/>
                <wp:effectExtent b="0" l="0" r="0" t="0"/>
                <wp:wrapNone/>
                <wp:docPr id="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Calibri" w:eastAsia="Calibri" w:hAnsi="Calibri" w:cs="Calibri"/>
          <w:color w:val="343434"/>
          <w:sz w:val="20"/>
          <w:szCs w:val="20"/>
        </w:rPr>
        <w:t xml:space="preserve">AEG Presents represents the live </w:t>
      </w:r>
      <w:r>
        <w:rPr>
          <w:rFonts w:ascii="Calibri" w:eastAsia="Calibri" w:hAnsi="Calibri" w:cs="Calibri"/>
          <w:color w:val="1C1C1C"/>
          <w:sz w:val="20"/>
          <w:szCs w:val="20"/>
        </w:rPr>
        <w:t xml:space="preserve">division </w:t>
      </w:r>
      <w:r>
        <w:rPr>
          <w:rFonts w:ascii="Calibri" w:eastAsia="Calibri" w:hAnsi="Calibri" w:cs="Calibri"/>
          <w:color w:val="343434"/>
          <w:sz w:val="20"/>
          <w:szCs w:val="20"/>
        </w:rPr>
        <w:t xml:space="preserve">of Anschutz Entertainment Group (AEG) and is one of the world’s leading companies in live entertainment, promoting memorable sell-out UK tours, </w:t>
      </w:r>
      <w:proofErr w:type="gramStart"/>
      <w:r>
        <w:rPr>
          <w:rFonts w:ascii="Calibri" w:eastAsia="Calibri" w:hAnsi="Calibri" w:cs="Calibri"/>
          <w:color w:val="343434"/>
          <w:sz w:val="20"/>
          <w:szCs w:val="20"/>
        </w:rPr>
        <w:t>festivals</w:t>
      </w:r>
      <w:proofErr w:type="gramEnd"/>
      <w:r>
        <w:rPr>
          <w:rFonts w:ascii="Calibri" w:eastAsia="Calibri" w:hAnsi="Calibri" w:cs="Calibri"/>
          <w:color w:val="343434"/>
          <w:sz w:val="20"/>
          <w:szCs w:val="20"/>
        </w:rPr>
        <w:t xml:space="preserve"> and outdoor events for the world’s biggest artists. Sustainability is at the core of the AEG Worldwide</w:t>
      </w:r>
      <w:r>
        <w:rPr>
          <w:rFonts w:ascii="Calibri" w:eastAsia="Calibri" w:hAnsi="Calibri" w:cs="Calibri"/>
          <w:color w:val="343434"/>
          <w:sz w:val="20"/>
          <w:szCs w:val="20"/>
        </w:rPr>
        <w:t xml:space="preserve"> strategy with its</w:t>
      </w:r>
      <w:r>
        <w:rPr>
          <w:rFonts w:ascii="Calibri" w:eastAsia="Calibri" w:hAnsi="Calibri" w:cs="Calibri"/>
          <w:sz w:val="20"/>
          <w:szCs w:val="20"/>
        </w:rPr>
        <w:t xml:space="preserve"> unique </w:t>
      </w:r>
      <w:hyperlink r:id="rId9">
        <w:r>
          <w:rPr>
            <w:rFonts w:ascii="Calibri" w:eastAsia="Calibri" w:hAnsi="Calibri" w:cs="Calibri"/>
            <w:sz w:val="20"/>
            <w:szCs w:val="20"/>
          </w:rPr>
          <w:t>AEG</w:t>
        </w:r>
      </w:hyperlink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43434"/>
          <w:sz w:val="20"/>
          <w:szCs w:val="20"/>
        </w:rPr>
        <w:t>Sustainability Initiative.</w:t>
      </w:r>
      <w:r w:rsidR="00992D13">
        <w:rPr>
          <w:rFonts w:ascii="Calibri" w:eastAsia="Calibri" w:hAnsi="Calibri" w:cs="Calibri"/>
          <w:color w:val="34343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43434"/>
          <w:sz w:val="20"/>
          <w:szCs w:val="20"/>
        </w:rPr>
        <w:t xml:space="preserve">This strategy extends into American Express presents BST Hyde Park (BST) and </w:t>
      </w:r>
      <w:r w:rsidR="00992D13">
        <w:rPr>
          <w:rFonts w:ascii="Calibri" w:eastAsia="Calibri" w:hAnsi="Calibri" w:cs="Calibri"/>
          <w:color w:val="343434"/>
          <w:sz w:val="20"/>
          <w:szCs w:val="20"/>
        </w:rPr>
        <w:t>Uber One</w:t>
      </w:r>
      <w:r>
        <w:rPr>
          <w:rFonts w:ascii="Calibri" w:eastAsia="Calibri" w:hAnsi="Calibri" w:cs="Calibri"/>
          <w:color w:val="343434"/>
          <w:sz w:val="20"/>
          <w:szCs w:val="20"/>
        </w:rPr>
        <w:t xml:space="preserve"> presents All Points </w:t>
      </w:r>
      <w:r>
        <w:rPr>
          <w:rFonts w:ascii="Calibri" w:eastAsia="Calibri" w:hAnsi="Calibri" w:cs="Calibri"/>
          <w:color w:val="343434"/>
          <w:sz w:val="20"/>
          <w:szCs w:val="20"/>
        </w:rPr>
        <w:t>East (APE), through the development and implementation of a Sustainable Event Management System (SEMS), which meets the requirements of ISO 20121:2012 (International Standard for Event Sustainability) and ISO 14001:2015 (International Standard for Environm</w:t>
      </w:r>
      <w:r>
        <w:rPr>
          <w:rFonts w:ascii="Calibri" w:eastAsia="Calibri" w:hAnsi="Calibri" w:cs="Calibri"/>
          <w:color w:val="343434"/>
          <w:sz w:val="20"/>
          <w:szCs w:val="20"/>
        </w:rPr>
        <w:t xml:space="preserve">ental Management). </w:t>
      </w:r>
    </w:p>
    <w:p w14:paraId="38253496" w14:textId="4BA242DE" w:rsidR="00123371" w:rsidRDefault="00123371">
      <w:pPr>
        <w:widowControl/>
        <w:rPr>
          <w:rFonts w:ascii="Calibri" w:eastAsia="Calibri" w:hAnsi="Calibri" w:cs="Calibri"/>
          <w:color w:val="343434"/>
          <w:sz w:val="20"/>
          <w:szCs w:val="20"/>
        </w:rPr>
      </w:pPr>
    </w:p>
    <w:p w14:paraId="065F34D0" w14:textId="77777777" w:rsidR="00123371" w:rsidRDefault="009225B3">
      <w:pPr>
        <w:widowControl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Our Commitment:</w:t>
      </w:r>
    </w:p>
    <w:p w14:paraId="0D79CCA2" w14:textId="77777777" w:rsidR="00123371" w:rsidRDefault="009225B3">
      <w:pPr>
        <w:widowControl/>
        <w:rPr>
          <w:rFonts w:ascii="Calibri" w:eastAsia="Calibri" w:hAnsi="Calibri" w:cs="Calibri"/>
          <w:color w:val="343434"/>
          <w:sz w:val="20"/>
          <w:szCs w:val="20"/>
        </w:rPr>
      </w:pPr>
      <w:r>
        <w:rPr>
          <w:rFonts w:ascii="Calibri" w:eastAsia="Calibri" w:hAnsi="Calibri" w:cs="Calibri"/>
          <w:color w:val="343434"/>
          <w:sz w:val="20"/>
          <w:szCs w:val="20"/>
        </w:rPr>
        <w:t xml:space="preserve">We understand that BST and APE activities can have both negative and positive environmental, </w:t>
      </w:r>
      <w:proofErr w:type="gramStart"/>
      <w:r>
        <w:rPr>
          <w:rFonts w:ascii="Calibri" w:eastAsia="Calibri" w:hAnsi="Calibri" w:cs="Calibri"/>
          <w:color w:val="343434"/>
          <w:sz w:val="20"/>
          <w:szCs w:val="20"/>
        </w:rPr>
        <w:t>social</w:t>
      </w:r>
      <w:proofErr w:type="gramEnd"/>
      <w:r>
        <w:rPr>
          <w:rFonts w:ascii="Calibri" w:eastAsia="Calibri" w:hAnsi="Calibri" w:cs="Calibri"/>
          <w:color w:val="343434"/>
          <w:sz w:val="20"/>
          <w:szCs w:val="20"/>
        </w:rPr>
        <w:t xml:space="preserve"> and economic impacts throughout the event lifecycle, from planning and procurement to del</w:t>
      </w:r>
      <w:r>
        <w:rPr>
          <w:rFonts w:ascii="Calibri" w:eastAsia="Calibri" w:hAnsi="Calibri" w:cs="Calibri"/>
          <w:color w:val="525252"/>
          <w:sz w:val="20"/>
          <w:szCs w:val="20"/>
        </w:rPr>
        <w:t>i</w:t>
      </w:r>
      <w:r>
        <w:rPr>
          <w:rFonts w:ascii="Calibri" w:eastAsia="Calibri" w:hAnsi="Calibri" w:cs="Calibri"/>
          <w:color w:val="343434"/>
          <w:sz w:val="20"/>
          <w:szCs w:val="20"/>
        </w:rPr>
        <w:t xml:space="preserve">very and decommissioning both on and offsite. We are committed to protecting the environment, preventing pollution, creating a positive </w:t>
      </w:r>
      <w:proofErr w:type="gramStart"/>
      <w:r>
        <w:rPr>
          <w:rFonts w:ascii="Calibri" w:eastAsia="Calibri" w:hAnsi="Calibri" w:cs="Calibri"/>
          <w:color w:val="343434"/>
          <w:sz w:val="20"/>
          <w:szCs w:val="20"/>
        </w:rPr>
        <w:t>legacy</w:t>
      </w:r>
      <w:proofErr w:type="gramEnd"/>
      <w:r>
        <w:rPr>
          <w:rFonts w:ascii="Calibri" w:eastAsia="Calibri" w:hAnsi="Calibri" w:cs="Calibri"/>
          <w:color w:val="343434"/>
          <w:sz w:val="20"/>
          <w:szCs w:val="20"/>
        </w:rPr>
        <w:t xml:space="preserve"> and demonstrating leadership within AEG and the events industry. Our performance is measured against our governin</w:t>
      </w:r>
      <w:r>
        <w:rPr>
          <w:rFonts w:ascii="Calibri" w:eastAsia="Calibri" w:hAnsi="Calibri" w:cs="Calibri"/>
          <w:color w:val="343434"/>
          <w:sz w:val="20"/>
          <w:szCs w:val="20"/>
        </w:rPr>
        <w:t xml:space="preserve">g principles of sustainable development, which include stewardship, inclusivity, </w:t>
      </w:r>
      <w:proofErr w:type="gramStart"/>
      <w:r>
        <w:rPr>
          <w:rFonts w:ascii="Calibri" w:eastAsia="Calibri" w:hAnsi="Calibri" w:cs="Calibri"/>
          <w:color w:val="343434"/>
          <w:sz w:val="20"/>
          <w:szCs w:val="20"/>
        </w:rPr>
        <w:t>transparency</w:t>
      </w:r>
      <w:proofErr w:type="gramEnd"/>
      <w:r>
        <w:rPr>
          <w:rFonts w:ascii="Calibri" w:eastAsia="Calibri" w:hAnsi="Calibri" w:cs="Calibri"/>
          <w:color w:val="343434"/>
          <w:sz w:val="20"/>
          <w:szCs w:val="20"/>
        </w:rPr>
        <w:t xml:space="preserve"> and integrity and provide a framework for developing our objectives and targets. </w:t>
      </w:r>
    </w:p>
    <w:p w14:paraId="14AC17C1" w14:textId="77777777" w:rsidR="00123371" w:rsidRDefault="00123371">
      <w:pPr>
        <w:pBdr>
          <w:top w:val="nil"/>
          <w:left w:val="nil"/>
          <w:bottom w:val="nil"/>
          <w:right w:val="nil"/>
          <w:between w:val="nil"/>
        </w:pBdr>
        <w:ind w:left="150" w:right="104"/>
        <w:rPr>
          <w:rFonts w:ascii="Calibri" w:eastAsia="Calibri" w:hAnsi="Calibri" w:cs="Calibri"/>
          <w:color w:val="343434"/>
          <w:sz w:val="20"/>
          <w:szCs w:val="20"/>
        </w:rPr>
      </w:pPr>
    </w:p>
    <w:p w14:paraId="291803BB" w14:textId="77777777" w:rsidR="00123371" w:rsidRDefault="009225B3">
      <w:pPr>
        <w:pBdr>
          <w:top w:val="nil"/>
          <w:left w:val="nil"/>
          <w:bottom w:val="nil"/>
          <w:right w:val="nil"/>
          <w:between w:val="nil"/>
        </w:pBdr>
        <w:ind w:right="104"/>
        <w:rPr>
          <w:rFonts w:ascii="Calibri" w:eastAsia="Calibri" w:hAnsi="Calibri" w:cs="Calibri"/>
          <w:color w:val="343434"/>
          <w:sz w:val="20"/>
          <w:szCs w:val="20"/>
        </w:rPr>
      </w:pPr>
      <w:r>
        <w:rPr>
          <w:rFonts w:ascii="Calibri" w:eastAsia="Calibri" w:hAnsi="Calibri" w:cs="Calibri"/>
          <w:color w:val="343434"/>
          <w:sz w:val="20"/>
          <w:szCs w:val="20"/>
        </w:rPr>
        <w:t>We thrive on developing creative innovative solutions and aim to deliver a uniq</w:t>
      </w:r>
      <w:r>
        <w:rPr>
          <w:rFonts w:ascii="Calibri" w:eastAsia="Calibri" w:hAnsi="Calibri" w:cs="Calibri"/>
          <w:color w:val="343434"/>
          <w:sz w:val="20"/>
          <w:szCs w:val="20"/>
        </w:rPr>
        <w:t>ue visitor experience, with a diverse and inclusive mix of commercial and community-oriented content. This ensures the event meets the highest standards and the parks continue to be excellent venues, whilst minimising the impact on environmental assets and</w:t>
      </w:r>
      <w:r>
        <w:rPr>
          <w:rFonts w:ascii="Calibri" w:eastAsia="Calibri" w:hAnsi="Calibri" w:cs="Calibri"/>
          <w:color w:val="343434"/>
          <w:sz w:val="20"/>
          <w:szCs w:val="20"/>
        </w:rPr>
        <w:t xml:space="preserve"> delivering benefits to the people who live in and around the parks. </w:t>
      </w:r>
    </w:p>
    <w:p w14:paraId="1953F4C1" w14:textId="77777777" w:rsidR="00123371" w:rsidRDefault="009225B3">
      <w:pPr>
        <w:pBdr>
          <w:top w:val="nil"/>
          <w:left w:val="nil"/>
          <w:bottom w:val="nil"/>
          <w:right w:val="nil"/>
          <w:between w:val="nil"/>
        </w:pBdr>
        <w:ind w:left="150" w:right="104"/>
        <w:rPr>
          <w:rFonts w:ascii="Calibri" w:eastAsia="Calibri" w:hAnsi="Calibri" w:cs="Calibri"/>
          <w:color w:val="343434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343434"/>
          <w:sz w:val="20"/>
          <w:szCs w:val="20"/>
        </w:rPr>
        <w:t>In particular we</w:t>
      </w:r>
      <w:proofErr w:type="gramEnd"/>
      <w:r>
        <w:rPr>
          <w:rFonts w:ascii="Calibri" w:eastAsia="Calibri" w:hAnsi="Calibri" w:cs="Calibri"/>
          <w:color w:val="343434"/>
          <w:sz w:val="20"/>
          <w:szCs w:val="20"/>
        </w:rPr>
        <w:t xml:space="preserve"> will: </w:t>
      </w:r>
    </w:p>
    <w:p w14:paraId="44E13F18" w14:textId="77777777" w:rsidR="00123371" w:rsidRDefault="009225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104"/>
        <w:rPr>
          <w:rFonts w:ascii="Calibri" w:eastAsia="Calibri" w:hAnsi="Calibri" w:cs="Calibri"/>
          <w:color w:val="343434"/>
          <w:sz w:val="20"/>
          <w:szCs w:val="20"/>
        </w:rPr>
      </w:pPr>
      <w:r>
        <w:rPr>
          <w:rFonts w:ascii="Calibri" w:eastAsia="Calibri" w:hAnsi="Calibri" w:cs="Calibri"/>
          <w:color w:val="343434"/>
          <w:sz w:val="20"/>
          <w:szCs w:val="20"/>
        </w:rPr>
        <w:t>meet and, where possible, exceed The Royal Parks’ and Tower Hamlet Council</w:t>
      </w:r>
      <w:r>
        <w:rPr>
          <w:rFonts w:ascii="Calibri" w:eastAsia="Calibri" w:hAnsi="Calibri" w:cs="Calibri"/>
          <w:color w:val="343434"/>
          <w:sz w:val="20"/>
          <w:szCs w:val="20"/>
        </w:rPr>
        <w:t xml:space="preserve">’s </w:t>
      </w:r>
      <w:r>
        <w:rPr>
          <w:rFonts w:ascii="Calibri" w:eastAsia="Calibri" w:hAnsi="Calibri" w:cs="Calibri"/>
          <w:color w:val="343434"/>
          <w:sz w:val="20"/>
          <w:szCs w:val="20"/>
        </w:rPr>
        <w:t>sustainability requirements and actively support The Royal Parks’ Sustainability Strategy 2015 – 2025 and associated pillars, and Tower</w:t>
      </w:r>
      <w:r>
        <w:rPr>
          <w:rFonts w:ascii="Calibri" w:eastAsia="Calibri" w:hAnsi="Calibri" w:cs="Calibri"/>
          <w:color w:val="343434"/>
          <w:sz w:val="20"/>
          <w:szCs w:val="20"/>
        </w:rPr>
        <w:t xml:space="preserve"> Hamlets Council’s relevant guidance </w:t>
      </w:r>
      <w:proofErr w:type="gramStart"/>
      <w:r>
        <w:rPr>
          <w:rFonts w:ascii="Calibri" w:eastAsia="Calibri" w:hAnsi="Calibri" w:cs="Calibri"/>
          <w:color w:val="343434"/>
          <w:sz w:val="20"/>
          <w:szCs w:val="20"/>
        </w:rPr>
        <w:t>documents</w:t>
      </w:r>
      <w:r>
        <w:rPr>
          <w:rFonts w:ascii="Calibri" w:eastAsia="Calibri" w:hAnsi="Calibri" w:cs="Calibri"/>
          <w:color w:val="343434"/>
          <w:sz w:val="20"/>
          <w:szCs w:val="20"/>
        </w:rPr>
        <w:t>;</w:t>
      </w:r>
      <w:proofErr w:type="gramEnd"/>
      <w:r>
        <w:rPr>
          <w:rFonts w:ascii="Calibri" w:eastAsia="Calibri" w:hAnsi="Calibri" w:cs="Calibri"/>
          <w:color w:val="343434"/>
          <w:sz w:val="20"/>
          <w:szCs w:val="20"/>
        </w:rPr>
        <w:t xml:space="preserve"> </w:t>
      </w:r>
    </w:p>
    <w:p w14:paraId="103E514A" w14:textId="77777777" w:rsidR="00123371" w:rsidRDefault="009225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104"/>
        <w:rPr>
          <w:rFonts w:ascii="Calibri" w:eastAsia="Calibri" w:hAnsi="Calibri" w:cs="Calibri"/>
          <w:color w:val="343434"/>
          <w:sz w:val="20"/>
          <w:szCs w:val="20"/>
        </w:rPr>
      </w:pPr>
      <w:r>
        <w:rPr>
          <w:rFonts w:ascii="Calibri" w:eastAsia="Calibri" w:hAnsi="Calibri" w:cs="Calibri"/>
          <w:color w:val="343434"/>
          <w:sz w:val="20"/>
          <w:szCs w:val="20"/>
        </w:rPr>
        <w:t xml:space="preserve">ensure </w:t>
      </w:r>
      <w:r>
        <w:rPr>
          <w:rFonts w:ascii="Calibri" w:eastAsia="Calibri" w:hAnsi="Calibri" w:cs="Calibri"/>
          <w:color w:val="1C1C1C"/>
          <w:sz w:val="20"/>
          <w:szCs w:val="20"/>
        </w:rPr>
        <w:t>compl</w:t>
      </w:r>
      <w:r>
        <w:rPr>
          <w:rFonts w:ascii="Calibri" w:eastAsia="Calibri" w:hAnsi="Calibri" w:cs="Calibri"/>
          <w:color w:val="525252"/>
          <w:sz w:val="20"/>
          <w:szCs w:val="20"/>
        </w:rPr>
        <w:t>i</w:t>
      </w:r>
      <w:r>
        <w:rPr>
          <w:rFonts w:ascii="Calibri" w:eastAsia="Calibri" w:hAnsi="Calibri" w:cs="Calibri"/>
          <w:color w:val="343434"/>
          <w:sz w:val="20"/>
          <w:szCs w:val="20"/>
        </w:rPr>
        <w:t>ance with all applicable legal and other sustainabi</w:t>
      </w:r>
      <w:r>
        <w:rPr>
          <w:rFonts w:ascii="Calibri" w:eastAsia="Calibri" w:hAnsi="Calibri" w:cs="Calibri"/>
          <w:color w:val="525252"/>
          <w:sz w:val="20"/>
          <w:szCs w:val="20"/>
        </w:rPr>
        <w:t>l</w:t>
      </w:r>
      <w:r>
        <w:rPr>
          <w:rFonts w:ascii="Calibri" w:eastAsia="Calibri" w:hAnsi="Calibri" w:cs="Calibri"/>
          <w:color w:val="343434"/>
          <w:sz w:val="20"/>
          <w:szCs w:val="20"/>
        </w:rPr>
        <w:t xml:space="preserve">ity </w:t>
      </w:r>
      <w:proofErr w:type="gramStart"/>
      <w:r>
        <w:rPr>
          <w:rFonts w:ascii="Calibri" w:eastAsia="Calibri" w:hAnsi="Calibri" w:cs="Calibri"/>
          <w:color w:val="343434"/>
          <w:sz w:val="20"/>
          <w:szCs w:val="20"/>
        </w:rPr>
        <w:t>req</w:t>
      </w:r>
      <w:r>
        <w:rPr>
          <w:rFonts w:ascii="Calibri" w:eastAsia="Calibri" w:hAnsi="Calibri" w:cs="Calibri"/>
          <w:color w:val="343434"/>
          <w:sz w:val="20"/>
          <w:szCs w:val="20"/>
        </w:rPr>
        <w:t>uirements;</w:t>
      </w:r>
      <w:proofErr w:type="gramEnd"/>
    </w:p>
    <w:p w14:paraId="41C147FE" w14:textId="77777777" w:rsidR="00123371" w:rsidRDefault="009225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104"/>
        <w:rPr>
          <w:rFonts w:ascii="Calibri" w:eastAsia="Calibri" w:hAnsi="Calibri" w:cs="Calibri"/>
          <w:color w:val="343434"/>
          <w:sz w:val="20"/>
          <w:szCs w:val="20"/>
        </w:rPr>
      </w:pPr>
      <w:r>
        <w:rPr>
          <w:rFonts w:ascii="Calibri" w:eastAsia="Calibri" w:hAnsi="Calibri" w:cs="Calibri"/>
          <w:color w:val="343434"/>
          <w:sz w:val="20"/>
          <w:szCs w:val="20"/>
        </w:rPr>
        <w:t xml:space="preserve">engage with key interested parties to identify, address and raise awareness about BST’s environmental, social and economic impacts and </w:t>
      </w:r>
      <w:proofErr w:type="gramStart"/>
      <w:r>
        <w:rPr>
          <w:rFonts w:ascii="Calibri" w:eastAsia="Calibri" w:hAnsi="Calibri" w:cs="Calibri"/>
          <w:color w:val="343434"/>
          <w:sz w:val="20"/>
          <w:szCs w:val="20"/>
        </w:rPr>
        <w:t>benefits;</w:t>
      </w:r>
      <w:proofErr w:type="gramEnd"/>
      <w:r>
        <w:rPr>
          <w:rFonts w:ascii="Calibri" w:eastAsia="Calibri" w:hAnsi="Calibri" w:cs="Calibri"/>
          <w:color w:val="343434"/>
          <w:sz w:val="20"/>
          <w:szCs w:val="20"/>
        </w:rPr>
        <w:t xml:space="preserve"> </w:t>
      </w:r>
    </w:p>
    <w:p w14:paraId="2EF3B962" w14:textId="77777777" w:rsidR="00123371" w:rsidRDefault="009225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104"/>
        <w:rPr>
          <w:rFonts w:ascii="Calibri" w:eastAsia="Calibri" w:hAnsi="Calibri" w:cs="Calibri"/>
          <w:color w:val="343434"/>
          <w:sz w:val="20"/>
          <w:szCs w:val="20"/>
        </w:rPr>
      </w:pPr>
      <w:r>
        <w:rPr>
          <w:rFonts w:ascii="Calibri" w:eastAsia="Calibri" w:hAnsi="Calibri" w:cs="Calibri"/>
          <w:color w:val="343434"/>
          <w:sz w:val="20"/>
          <w:szCs w:val="20"/>
        </w:rPr>
        <w:t xml:space="preserve">communicate this policy to all employees, vendors and sponsors and evaluate competence to meet our </w:t>
      </w:r>
      <w:r>
        <w:rPr>
          <w:rFonts w:ascii="Calibri" w:eastAsia="Calibri" w:hAnsi="Calibri" w:cs="Calibri"/>
          <w:color w:val="343434"/>
          <w:sz w:val="20"/>
          <w:szCs w:val="20"/>
        </w:rPr>
        <w:t xml:space="preserve">sustainability </w:t>
      </w:r>
      <w:proofErr w:type="gramStart"/>
      <w:r>
        <w:rPr>
          <w:rFonts w:ascii="Calibri" w:eastAsia="Calibri" w:hAnsi="Calibri" w:cs="Calibri"/>
          <w:color w:val="343434"/>
          <w:sz w:val="20"/>
          <w:szCs w:val="20"/>
        </w:rPr>
        <w:t>objectives;</w:t>
      </w:r>
      <w:proofErr w:type="gramEnd"/>
    </w:p>
    <w:p w14:paraId="571BC3D6" w14:textId="77777777" w:rsidR="00123371" w:rsidRDefault="009225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104"/>
        <w:rPr>
          <w:rFonts w:ascii="Calibri" w:eastAsia="Calibri" w:hAnsi="Calibri" w:cs="Calibri"/>
          <w:color w:val="343434"/>
          <w:sz w:val="20"/>
          <w:szCs w:val="20"/>
        </w:rPr>
      </w:pPr>
      <w:r>
        <w:rPr>
          <w:rFonts w:ascii="Calibri" w:eastAsia="Calibri" w:hAnsi="Calibri" w:cs="Calibri"/>
          <w:color w:val="343434"/>
          <w:sz w:val="20"/>
          <w:szCs w:val="20"/>
        </w:rPr>
        <w:t>monitor, measure and review our sustainability performance to achieve continual improvement; and</w:t>
      </w:r>
    </w:p>
    <w:p w14:paraId="5F34BD69" w14:textId="77777777" w:rsidR="00123371" w:rsidRDefault="009225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104"/>
        <w:rPr>
          <w:rFonts w:ascii="Calibri" w:eastAsia="Calibri" w:hAnsi="Calibri" w:cs="Calibri"/>
          <w:color w:val="343434"/>
          <w:sz w:val="20"/>
          <w:szCs w:val="20"/>
        </w:rPr>
      </w:pPr>
      <w:r>
        <w:rPr>
          <w:rFonts w:ascii="Calibri" w:eastAsia="Calibri" w:hAnsi="Calibri" w:cs="Calibri"/>
          <w:color w:val="343434"/>
          <w:sz w:val="20"/>
          <w:szCs w:val="20"/>
        </w:rPr>
        <w:t xml:space="preserve">share learnings with AEG Worldwide, The Royal Parks, </w:t>
      </w:r>
      <w:r>
        <w:rPr>
          <w:rFonts w:ascii="Calibri" w:eastAsia="Calibri" w:hAnsi="Calibri" w:cs="Calibri"/>
          <w:color w:val="343434"/>
          <w:sz w:val="20"/>
          <w:szCs w:val="20"/>
        </w:rPr>
        <w:t>Tower Hamlets Council</w:t>
      </w:r>
      <w:r>
        <w:rPr>
          <w:rFonts w:ascii="Calibri" w:eastAsia="Calibri" w:hAnsi="Calibri" w:cs="Calibri"/>
          <w:color w:val="343434"/>
          <w:sz w:val="20"/>
          <w:szCs w:val="20"/>
        </w:rPr>
        <w:t xml:space="preserve"> and the wider event industry and embed sustainability pro</w:t>
      </w:r>
      <w:r>
        <w:rPr>
          <w:rFonts w:ascii="Calibri" w:eastAsia="Calibri" w:hAnsi="Calibri" w:cs="Calibri"/>
          <w:color w:val="343434"/>
          <w:sz w:val="20"/>
          <w:szCs w:val="20"/>
        </w:rPr>
        <w:t xml:space="preserve">cesses and practices into other major events in the UK and Ireland. </w:t>
      </w:r>
    </w:p>
    <w:p w14:paraId="055348BA" w14:textId="77777777" w:rsidR="00123371" w:rsidRDefault="00123371">
      <w:pPr>
        <w:pBdr>
          <w:top w:val="nil"/>
          <w:left w:val="nil"/>
          <w:bottom w:val="nil"/>
          <w:right w:val="nil"/>
          <w:between w:val="nil"/>
        </w:pBdr>
        <w:ind w:left="902" w:right="104"/>
        <w:rPr>
          <w:rFonts w:ascii="Calibri" w:eastAsia="Calibri" w:hAnsi="Calibri" w:cs="Calibri"/>
          <w:color w:val="343434"/>
          <w:sz w:val="20"/>
          <w:szCs w:val="20"/>
        </w:rPr>
      </w:pPr>
    </w:p>
    <w:p w14:paraId="6719CA67" w14:textId="77777777" w:rsidR="00123371" w:rsidRDefault="009225B3">
      <w:pPr>
        <w:pBdr>
          <w:top w:val="nil"/>
          <w:left w:val="nil"/>
          <w:bottom w:val="nil"/>
          <w:right w:val="nil"/>
          <w:between w:val="nil"/>
        </w:pBdr>
        <w:ind w:right="104"/>
        <w:rPr>
          <w:rFonts w:ascii="Calibri" w:eastAsia="Calibri" w:hAnsi="Calibri" w:cs="Calibri"/>
          <w:b/>
          <w:color w:val="343434"/>
          <w:sz w:val="20"/>
          <w:szCs w:val="20"/>
        </w:rPr>
      </w:pPr>
      <w:r>
        <w:rPr>
          <w:rFonts w:ascii="Calibri" w:eastAsia="Calibri" w:hAnsi="Calibri" w:cs="Calibri"/>
          <w:b/>
          <w:color w:val="343434"/>
          <w:sz w:val="20"/>
          <w:szCs w:val="20"/>
        </w:rPr>
        <w:t xml:space="preserve">Our Objectives: </w:t>
      </w:r>
    </w:p>
    <w:p w14:paraId="6376D284" w14:textId="77777777" w:rsidR="00123371" w:rsidRDefault="009225B3">
      <w:pPr>
        <w:pBdr>
          <w:top w:val="nil"/>
          <w:left w:val="nil"/>
          <w:bottom w:val="nil"/>
          <w:right w:val="nil"/>
          <w:between w:val="nil"/>
        </w:pBdr>
        <w:ind w:left="142" w:right="104" w:hanging="142"/>
        <w:rPr>
          <w:rFonts w:ascii="Calibri" w:eastAsia="Calibri" w:hAnsi="Calibri" w:cs="Calibri"/>
          <w:color w:val="343434"/>
          <w:sz w:val="20"/>
          <w:szCs w:val="20"/>
        </w:rPr>
      </w:pPr>
      <w:r>
        <w:rPr>
          <w:rFonts w:ascii="Calibri" w:eastAsia="Calibri" w:hAnsi="Calibri" w:cs="Calibri"/>
          <w:color w:val="343434"/>
          <w:sz w:val="20"/>
          <w:szCs w:val="20"/>
        </w:rPr>
        <w:t>A strategic and event-specific context and materiality analysis has given rise to the following objectives. As applicable,</w:t>
      </w:r>
      <w:r>
        <w:rPr>
          <w:rFonts w:ascii="Calibri" w:eastAsia="Calibri" w:hAnsi="Calibri" w:cs="Calibri"/>
          <w:color w:val="34343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43434"/>
          <w:sz w:val="20"/>
          <w:szCs w:val="20"/>
        </w:rPr>
        <w:t>these are implemented on the event through an Event Sustainability Action Plan.</w:t>
      </w:r>
    </w:p>
    <w:p w14:paraId="607710E1" w14:textId="77777777" w:rsidR="00123371" w:rsidRDefault="009225B3">
      <w:pPr>
        <w:numPr>
          <w:ilvl w:val="0"/>
          <w:numId w:val="1"/>
        </w:numPr>
        <w:spacing w:before="240"/>
        <w:rPr>
          <w:color w:val="212121"/>
        </w:rPr>
      </w:pPr>
      <w:r>
        <w:rPr>
          <w:rFonts w:ascii="Calibri" w:eastAsia="Calibri" w:hAnsi="Calibri" w:cs="Calibri"/>
          <w:color w:val="343434"/>
          <w:sz w:val="20"/>
          <w:szCs w:val="20"/>
        </w:rPr>
        <w:t>Update communication channels (</w:t>
      </w:r>
      <w:proofErr w:type="spellStart"/>
      <w:r>
        <w:rPr>
          <w:rFonts w:ascii="Calibri" w:eastAsia="Calibri" w:hAnsi="Calibri" w:cs="Calibri"/>
          <w:color w:val="343434"/>
          <w:sz w:val="20"/>
          <w:szCs w:val="20"/>
        </w:rPr>
        <w:t>ie</w:t>
      </w:r>
      <w:proofErr w:type="spellEnd"/>
      <w:r>
        <w:rPr>
          <w:rFonts w:ascii="Calibri" w:eastAsia="Calibri" w:hAnsi="Calibri" w:cs="Calibri"/>
          <w:color w:val="343434"/>
          <w:sz w:val="20"/>
          <w:szCs w:val="20"/>
        </w:rPr>
        <w:t>. Website) with dedi</w:t>
      </w:r>
      <w:r>
        <w:rPr>
          <w:rFonts w:ascii="Calibri" w:eastAsia="Calibri" w:hAnsi="Calibri" w:cs="Calibri"/>
          <w:color w:val="343434"/>
          <w:sz w:val="20"/>
          <w:szCs w:val="20"/>
        </w:rPr>
        <w:t xml:space="preserve">cated and visible sustainability sections, ensuring information is accurate and in compliance with the Green Claims Code </w:t>
      </w:r>
    </w:p>
    <w:p w14:paraId="52CF7C67" w14:textId="77777777" w:rsidR="00123371" w:rsidRDefault="009225B3">
      <w:pPr>
        <w:numPr>
          <w:ilvl w:val="0"/>
          <w:numId w:val="1"/>
        </w:numPr>
        <w:rPr>
          <w:rFonts w:ascii="Calibri" w:eastAsia="Calibri" w:hAnsi="Calibri" w:cs="Calibri"/>
          <w:color w:val="343434"/>
          <w:sz w:val="20"/>
          <w:szCs w:val="20"/>
        </w:rPr>
      </w:pPr>
      <w:r>
        <w:rPr>
          <w:rFonts w:ascii="Calibri" w:eastAsia="Calibri" w:hAnsi="Calibri" w:cs="Calibri"/>
          <w:color w:val="343434"/>
          <w:sz w:val="20"/>
          <w:szCs w:val="20"/>
        </w:rPr>
        <w:t>Continuously improve our Sustainable Event Management System to meet ISO certification requirements and meet Global Double Materiality</w:t>
      </w:r>
      <w:r>
        <w:rPr>
          <w:rFonts w:ascii="Calibri" w:eastAsia="Calibri" w:hAnsi="Calibri" w:cs="Calibri"/>
          <w:color w:val="343434"/>
          <w:sz w:val="20"/>
          <w:szCs w:val="20"/>
        </w:rPr>
        <w:t xml:space="preserve"> standards, including ongoing training of new SEMS Coordinator and Support </w:t>
      </w:r>
    </w:p>
    <w:p w14:paraId="7CE44E23" w14:textId="77777777" w:rsidR="00123371" w:rsidRDefault="009225B3">
      <w:pPr>
        <w:numPr>
          <w:ilvl w:val="0"/>
          <w:numId w:val="1"/>
        </w:numPr>
        <w:rPr>
          <w:rFonts w:ascii="Calibri" w:eastAsia="Calibri" w:hAnsi="Calibri" w:cs="Calibri"/>
          <w:color w:val="343434"/>
          <w:sz w:val="20"/>
          <w:szCs w:val="20"/>
        </w:rPr>
      </w:pPr>
      <w:r>
        <w:rPr>
          <w:rFonts w:ascii="Calibri" w:eastAsia="Calibri" w:hAnsi="Calibri" w:cs="Calibri"/>
          <w:color w:val="343434"/>
          <w:sz w:val="20"/>
          <w:szCs w:val="20"/>
        </w:rPr>
        <w:t xml:space="preserve">Launch Festival Sustainability training through our intranet for all staff members to complete and feedback on </w:t>
      </w:r>
    </w:p>
    <w:p w14:paraId="5D9682EF" w14:textId="77777777" w:rsidR="00123371" w:rsidRDefault="009225B3">
      <w:pPr>
        <w:numPr>
          <w:ilvl w:val="0"/>
          <w:numId w:val="1"/>
        </w:numPr>
        <w:rPr>
          <w:rFonts w:ascii="Calibri" w:eastAsia="Calibri" w:hAnsi="Calibri" w:cs="Calibri"/>
          <w:color w:val="343434"/>
          <w:sz w:val="20"/>
          <w:szCs w:val="20"/>
        </w:rPr>
      </w:pPr>
      <w:r>
        <w:rPr>
          <w:rFonts w:ascii="Calibri" w:eastAsia="Calibri" w:hAnsi="Calibri" w:cs="Calibri"/>
          <w:color w:val="343434"/>
          <w:sz w:val="20"/>
          <w:szCs w:val="20"/>
        </w:rPr>
        <w:t>Address emissions through food-related carbon communications and int</w:t>
      </w:r>
      <w:r>
        <w:rPr>
          <w:rFonts w:ascii="Calibri" w:eastAsia="Calibri" w:hAnsi="Calibri" w:cs="Calibri"/>
          <w:color w:val="343434"/>
          <w:sz w:val="20"/>
          <w:szCs w:val="20"/>
        </w:rPr>
        <w:t xml:space="preserve">roducing an air travel </w:t>
      </w:r>
      <w:proofErr w:type="gramStart"/>
      <w:r>
        <w:rPr>
          <w:rFonts w:ascii="Calibri" w:eastAsia="Calibri" w:hAnsi="Calibri" w:cs="Calibri"/>
          <w:color w:val="343434"/>
          <w:sz w:val="20"/>
          <w:szCs w:val="20"/>
        </w:rPr>
        <w:t>policy</w:t>
      </w:r>
      <w:proofErr w:type="gramEnd"/>
      <w:r>
        <w:rPr>
          <w:rFonts w:ascii="Calibri" w:eastAsia="Calibri" w:hAnsi="Calibri" w:cs="Calibri"/>
          <w:color w:val="343434"/>
          <w:sz w:val="20"/>
          <w:szCs w:val="20"/>
        </w:rPr>
        <w:t xml:space="preserve"> </w:t>
      </w:r>
    </w:p>
    <w:p w14:paraId="7229EC27" w14:textId="77777777" w:rsidR="00123371" w:rsidRDefault="009225B3">
      <w:pPr>
        <w:numPr>
          <w:ilvl w:val="0"/>
          <w:numId w:val="1"/>
        </w:numPr>
        <w:spacing w:after="240"/>
        <w:rPr>
          <w:rFonts w:ascii="Calibri" w:eastAsia="Calibri" w:hAnsi="Calibri" w:cs="Calibri"/>
          <w:color w:val="343434"/>
          <w:sz w:val="20"/>
          <w:szCs w:val="20"/>
        </w:rPr>
      </w:pPr>
      <w:r>
        <w:rPr>
          <w:rFonts w:ascii="Calibri" w:eastAsia="Calibri" w:hAnsi="Calibri" w:cs="Calibri"/>
          <w:color w:val="343434"/>
          <w:sz w:val="20"/>
          <w:szCs w:val="20"/>
        </w:rPr>
        <w:t xml:space="preserve">Aim to </w:t>
      </w:r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investigate technological innovations (particularly AI, AR and VR), consumer behaviours and regulatory landscape as they become </w:t>
      </w:r>
      <w:proofErr w:type="gram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relevant</w:t>
      </w:r>
      <w:proofErr w:type="gram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</w:p>
    <w:p w14:paraId="4D55927F" w14:textId="77777777" w:rsidR="00123371" w:rsidRDefault="009225B3">
      <w:pPr>
        <w:pBdr>
          <w:top w:val="nil"/>
          <w:left w:val="nil"/>
          <w:bottom w:val="nil"/>
          <w:right w:val="nil"/>
          <w:between w:val="nil"/>
        </w:pBdr>
        <w:ind w:left="163" w:right="313" w:hanging="163"/>
        <w:rPr>
          <w:rFonts w:ascii="Calibri" w:eastAsia="Calibri" w:hAnsi="Calibri" w:cs="Calibri"/>
          <w:color w:val="313131"/>
          <w:sz w:val="20"/>
          <w:szCs w:val="20"/>
        </w:rPr>
      </w:pPr>
      <w:r>
        <w:rPr>
          <w:rFonts w:ascii="Calibri" w:eastAsia="Calibri" w:hAnsi="Calibri" w:cs="Calibri"/>
          <w:color w:val="313131"/>
          <w:sz w:val="20"/>
          <w:szCs w:val="20"/>
        </w:rPr>
        <w:t xml:space="preserve">This policy is annually reviewed by the </w:t>
      </w:r>
      <w:r>
        <w:rPr>
          <w:rFonts w:ascii="Calibri" w:eastAsia="Calibri" w:hAnsi="Calibri" w:cs="Calibri"/>
          <w:color w:val="313131"/>
          <w:sz w:val="20"/>
          <w:szCs w:val="20"/>
        </w:rPr>
        <w:t>Director of Sustainability</w:t>
      </w:r>
      <w:r>
        <w:rPr>
          <w:rFonts w:ascii="Calibri" w:eastAsia="Calibri" w:hAnsi="Calibri" w:cs="Calibri"/>
          <w:color w:val="313131"/>
          <w:sz w:val="20"/>
          <w:szCs w:val="20"/>
        </w:rPr>
        <w:t xml:space="preserve"> and Event Director and available to staff, delivery partners, contractors, </w:t>
      </w:r>
      <w:proofErr w:type="gramStart"/>
      <w:r>
        <w:rPr>
          <w:rFonts w:ascii="Calibri" w:eastAsia="Calibri" w:hAnsi="Calibri" w:cs="Calibri"/>
          <w:color w:val="313131"/>
          <w:sz w:val="20"/>
          <w:szCs w:val="20"/>
        </w:rPr>
        <w:t>suppliers</w:t>
      </w:r>
      <w:proofErr w:type="gramEnd"/>
      <w:r>
        <w:rPr>
          <w:rFonts w:ascii="Calibri" w:eastAsia="Calibri" w:hAnsi="Calibri" w:cs="Calibri"/>
          <w:color w:val="313131"/>
          <w:sz w:val="20"/>
          <w:szCs w:val="20"/>
        </w:rPr>
        <w:t xml:space="preserve"> and other interested part</w:t>
      </w:r>
      <w:r>
        <w:rPr>
          <w:rFonts w:ascii="Calibri" w:eastAsia="Calibri" w:hAnsi="Calibri" w:cs="Calibri"/>
          <w:color w:val="575757"/>
          <w:sz w:val="20"/>
          <w:szCs w:val="20"/>
        </w:rPr>
        <w:t>i</w:t>
      </w:r>
      <w:r>
        <w:rPr>
          <w:rFonts w:ascii="Calibri" w:eastAsia="Calibri" w:hAnsi="Calibri" w:cs="Calibri"/>
          <w:color w:val="313131"/>
          <w:sz w:val="20"/>
          <w:szCs w:val="20"/>
        </w:rPr>
        <w:t>es, as applicable</w:t>
      </w:r>
      <w:r>
        <w:rPr>
          <w:rFonts w:ascii="Calibri" w:eastAsia="Calibri" w:hAnsi="Calibri" w:cs="Calibri"/>
          <w:color w:val="575757"/>
          <w:sz w:val="20"/>
          <w:szCs w:val="20"/>
        </w:rPr>
        <w:t xml:space="preserve">. </w:t>
      </w:r>
      <w:r>
        <w:rPr>
          <w:rFonts w:ascii="Calibri" w:eastAsia="Calibri" w:hAnsi="Calibri" w:cs="Calibri"/>
          <w:color w:val="313131"/>
          <w:sz w:val="20"/>
          <w:szCs w:val="20"/>
        </w:rPr>
        <w:t xml:space="preserve">It is supported by a certified Sustainable Event Management System, which is audited annually by a </w:t>
      </w:r>
      <w:proofErr w:type="gramStart"/>
      <w:r>
        <w:rPr>
          <w:rFonts w:ascii="Calibri" w:eastAsia="Calibri" w:hAnsi="Calibri" w:cs="Calibri"/>
          <w:color w:val="313131"/>
          <w:sz w:val="20"/>
          <w:szCs w:val="20"/>
        </w:rPr>
        <w:t>third party</w:t>
      </w:r>
      <w:proofErr w:type="gramEnd"/>
      <w:r>
        <w:rPr>
          <w:rFonts w:ascii="Calibri" w:eastAsia="Calibri" w:hAnsi="Calibri" w:cs="Calibri"/>
          <w:color w:val="313131"/>
          <w:sz w:val="20"/>
          <w:szCs w:val="20"/>
        </w:rPr>
        <w:t xml:space="preserve"> Certification </w:t>
      </w:r>
      <w:r>
        <w:rPr>
          <w:rFonts w:ascii="Calibri" w:eastAsia="Calibri" w:hAnsi="Calibri" w:cs="Calibri"/>
          <w:color w:val="313131"/>
          <w:sz w:val="20"/>
          <w:szCs w:val="20"/>
        </w:rPr>
        <w:t xml:space="preserve">Body. </w:t>
      </w:r>
    </w:p>
    <w:p w14:paraId="66E1F591" w14:textId="77777777" w:rsidR="00123371" w:rsidRDefault="009225B3">
      <w:pPr>
        <w:pBdr>
          <w:top w:val="nil"/>
          <w:left w:val="nil"/>
          <w:bottom w:val="nil"/>
          <w:right w:val="nil"/>
          <w:between w:val="nil"/>
        </w:pBdr>
        <w:ind w:left="163" w:right="313" w:hanging="163"/>
        <w:rPr>
          <w:rFonts w:ascii="Calibri" w:eastAsia="Calibri" w:hAnsi="Calibri" w:cs="Calibri"/>
          <w:color w:val="313131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42B9D4D9" wp14:editId="6E276478">
            <wp:simplePos x="0" y="0"/>
            <wp:positionH relativeFrom="column">
              <wp:posOffset>3048000</wp:posOffset>
            </wp:positionH>
            <wp:positionV relativeFrom="paragraph">
              <wp:posOffset>104775</wp:posOffset>
            </wp:positionV>
            <wp:extent cx="1187896" cy="359638"/>
            <wp:effectExtent l="0" t="0" r="0" b="0"/>
            <wp:wrapNone/>
            <wp:docPr id="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7896" cy="359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1"/>
        <w:tblW w:w="9975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8355"/>
      </w:tblGrid>
      <w:tr w:rsidR="00123371" w14:paraId="36284170" w14:textId="77777777">
        <w:trPr>
          <w:trHeight w:val="37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9696F1" w14:textId="77777777" w:rsidR="00123371" w:rsidRDefault="009225B3">
            <w:pPr>
              <w:spacing w:line="276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Signed</w:t>
            </w:r>
          </w:p>
        </w:tc>
        <w:tc>
          <w:tcPr>
            <w:tcW w:w="8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29582A" w14:textId="77777777" w:rsidR="00123371" w:rsidRDefault="00123371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3371" w14:paraId="22E0476F" w14:textId="77777777">
        <w:trPr>
          <w:trHeight w:val="21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633B08" w14:textId="77777777" w:rsidR="00123371" w:rsidRDefault="009225B3">
            <w:pPr>
              <w:spacing w:line="276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Name</w:t>
            </w:r>
          </w:p>
        </w:tc>
        <w:tc>
          <w:tcPr>
            <w:tcW w:w="8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DC777A" w14:textId="77777777" w:rsidR="00123371" w:rsidRDefault="009225B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Jim King</w:t>
            </w:r>
          </w:p>
        </w:tc>
      </w:tr>
      <w:tr w:rsidR="00123371" w14:paraId="45AF3A99" w14:textId="77777777">
        <w:trPr>
          <w:trHeight w:val="21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212513" w14:textId="77777777" w:rsidR="00123371" w:rsidRDefault="009225B3">
            <w:pPr>
              <w:spacing w:line="276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Position</w:t>
            </w:r>
          </w:p>
        </w:tc>
        <w:tc>
          <w:tcPr>
            <w:tcW w:w="8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9802C6" w14:textId="77777777" w:rsidR="00123371" w:rsidRDefault="009225B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CEO European Festivals</w:t>
            </w:r>
          </w:p>
        </w:tc>
      </w:tr>
      <w:tr w:rsidR="00123371" w14:paraId="0438C476" w14:textId="77777777">
        <w:trPr>
          <w:trHeight w:val="21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67E329" w14:textId="77777777" w:rsidR="00123371" w:rsidRDefault="009225B3">
            <w:pPr>
              <w:spacing w:line="276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Date</w:t>
            </w:r>
          </w:p>
        </w:tc>
        <w:tc>
          <w:tcPr>
            <w:tcW w:w="8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828519" w14:textId="77777777" w:rsidR="00123371" w:rsidRDefault="009225B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20/06/24</w:t>
            </w:r>
          </w:p>
        </w:tc>
      </w:tr>
    </w:tbl>
    <w:p w14:paraId="10D59513" w14:textId="432FACB5" w:rsidR="00123371" w:rsidRDefault="00123371">
      <w:pPr>
        <w:widowControl/>
        <w:jc w:val="both"/>
        <w:rPr>
          <w:b/>
          <w:color w:val="222222"/>
          <w:sz w:val="28"/>
          <w:szCs w:val="28"/>
        </w:rPr>
      </w:pPr>
    </w:p>
    <w:sectPr w:rsidR="00123371">
      <w:headerReference w:type="default" r:id="rId11"/>
      <w:footerReference w:type="default" r:id="rId12"/>
      <w:pgSz w:w="11910" w:h="16840"/>
      <w:pgMar w:top="1368" w:right="980" w:bottom="780" w:left="1000" w:header="630" w:footer="5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5EE71" w14:textId="77777777" w:rsidR="009225B3" w:rsidRDefault="009225B3">
      <w:r>
        <w:separator/>
      </w:r>
    </w:p>
  </w:endnote>
  <w:endnote w:type="continuationSeparator" w:id="0">
    <w:p w14:paraId="6A10C0A1" w14:textId="77777777" w:rsidR="009225B3" w:rsidRDefault="0092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48885" w14:textId="77777777" w:rsidR="00123371" w:rsidRDefault="00123371">
    <w:pPr>
      <w:tabs>
        <w:tab w:val="left" w:pos="3270"/>
      </w:tabs>
      <w:jc w:val="right"/>
      <w:rPr>
        <w:color w:val="999999"/>
        <w:sz w:val="12"/>
        <w:szCs w:val="12"/>
      </w:rPr>
    </w:pPr>
  </w:p>
  <w:p w14:paraId="2F464F07" w14:textId="77777777" w:rsidR="00123371" w:rsidRDefault="009225B3">
    <w:pPr>
      <w:tabs>
        <w:tab w:val="left" w:pos="3270"/>
      </w:tabs>
      <w:jc w:val="center"/>
      <w:rPr>
        <w:color w:val="999999"/>
        <w:sz w:val="18"/>
        <w:szCs w:val="18"/>
      </w:rPr>
    </w:pPr>
    <w:r>
      <w:rPr>
        <w:color w:val="999999"/>
        <w:sz w:val="18"/>
        <w:szCs w:val="18"/>
      </w:rPr>
      <w:t xml:space="preserve">If you have any feedback on this </w:t>
    </w:r>
    <w:proofErr w:type="gramStart"/>
    <w:r>
      <w:rPr>
        <w:color w:val="999999"/>
        <w:sz w:val="18"/>
        <w:szCs w:val="18"/>
      </w:rPr>
      <w:t>policy</w:t>
    </w:r>
    <w:proofErr w:type="gramEnd"/>
    <w:r>
      <w:rPr>
        <w:color w:val="999999"/>
        <w:sz w:val="18"/>
        <w:szCs w:val="18"/>
      </w:rPr>
      <w:t xml:space="preserve"> please email kendall.vowels@aegpresents.co.uk </w:t>
    </w:r>
  </w:p>
  <w:p w14:paraId="37528AFF" w14:textId="77777777" w:rsidR="00123371" w:rsidRDefault="0012337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31313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62F0D" w14:textId="77777777" w:rsidR="009225B3" w:rsidRDefault="009225B3">
      <w:r>
        <w:separator/>
      </w:r>
    </w:p>
  </w:footnote>
  <w:footnote w:type="continuationSeparator" w:id="0">
    <w:p w14:paraId="74F9CDA4" w14:textId="77777777" w:rsidR="009225B3" w:rsidRDefault="00922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496CF" w14:textId="77777777" w:rsidR="00123371" w:rsidRDefault="009225B3">
    <w:pPr>
      <w:widowControl/>
      <w:tabs>
        <w:tab w:val="center" w:pos="4513"/>
        <w:tab w:val="right" w:pos="10200"/>
      </w:tabs>
      <w:rPr>
        <w:sz w:val="16"/>
        <w:szCs w:val="16"/>
      </w:rPr>
    </w:pPr>
    <w:r>
      <w:rPr>
        <w:sz w:val="16"/>
        <w:szCs w:val="16"/>
      </w:rPr>
      <w:t>Document classification:   Public</w:t>
    </w:r>
  </w:p>
  <w:p w14:paraId="30FA5DDD" w14:textId="77777777" w:rsidR="00123371" w:rsidRDefault="009225B3">
    <w:pPr>
      <w:widowControl/>
      <w:tabs>
        <w:tab w:val="center" w:pos="4513"/>
        <w:tab w:val="right" w:pos="10200"/>
      </w:tabs>
      <w:rPr>
        <w:rFonts w:ascii="Calibri" w:eastAsia="Calibri" w:hAnsi="Calibri" w:cs="Calibri"/>
        <w:sz w:val="42"/>
        <w:szCs w:val="42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0" locked="0" layoutInCell="1" hidden="0" allowOverlap="1" wp14:anchorId="7D28A3A8" wp14:editId="1B1B4EBB">
          <wp:simplePos x="0" y="0"/>
          <wp:positionH relativeFrom="margin">
            <wp:posOffset>5378775</wp:posOffset>
          </wp:positionH>
          <wp:positionV relativeFrom="margin">
            <wp:posOffset>-419097</wp:posOffset>
          </wp:positionV>
          <wp:extent cx="988864" cy="417830"/>
          <wp:effectExtent l="0" t="0" r="0" b="0"/>
          <wp:wrapNone/>
          <wp:docPr id="29" name="image2.jpg" descr="/var/folders/28/vvtn9f810jl284vwmw7cyc8h0000gn/T/com.microsoft.Word/WebArchiveCopyPasteTempFiles/th?id=OIP.1jNMKVSLE7LkeHw6zSKHEQHaDH&amp;pid=Ap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/var/folders/28/vvtn9f810jl284vwmw7cyc8h0000gn/T/com.microsoft.Word/WebArchiveCopyPasteTempFiles/th?id=OIP.1jNMKVSLE7LkeHw6zSKHEQHaDH&amp;pid=Ap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8864" cy="417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16"/>
        <w:szCs w:val="16"/>
      </w:rPr>
      <w:t>AEG24_SEMS_Ref004_Sustainable Development Policy_V2_200624_Public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6589"/>
    <w:multiLevelType w:val="multilevel"/>
    <w:tmpl w:val="03C022A0"/>
    <w:lvl w:ilvl="0">
      <w:start w:val="1"/>
      <w:numFmt w:val="bullet"/>
      <w:lvlText w:val="•"/>
      <w:lvlJc w:val="left"/>
      <w:pPr>
        <w:ind w:left="902" w:hanging="360"/>
      </w:pPr>
      <w:rPr>
        <w:rFonts w:ascii="Arial" w:eastAsia="Arial" w:hAnsi="Arial" w:cs="Arial"/>
        <w:color w:val="343434"/>
        <w:sz w:val="20"/>
        <w:szCs w:val="20"/>
      </w:rPr>
    </w:lvl>
    <w:lvl w:ilvl="1">
      <w:start w:val="1"/>
      <w:numFmt w:val="bullet"/>
      <w:lvlText w:val="o"/>
      <w:lvlJc w:val="left"/>
      <w:pPr>
        <w:ind w:left="16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86680C"/>
    <w:multiLevelType w:val="multilevel"/>
    <w:tmpl w:val="9EB4F6F0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color w:val="343434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2501321">
    <w:abstractNumId w:val="1"/>
  </w:num>
  <w:num w:numId="2" w16cid:durableId="1199661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371"/>
    <w:rsid w:val="00123371"/>
    <w:rsid w:val="005305E4"/>
    <w:rsid w:val="009225B3"/>
    <w:rsid w:val="0098345B"/>
    <w:rsid w:val="0099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9D55D"/>
  <w15:docId w15:val="{16BEF9B4-1671-4D52-B04F-8CB0468A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17"/>
      <w:ind w:left="817" w:hanging="36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F6DA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A7"/>
    <w:rPr>
      <w:rFonts w:ascii="Times New Roman" w:eastAsia="Arial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46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68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D46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685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A678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8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78B8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aegworldwide.com/about/aeg-1eart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2kkgI3oW20Lmc4iOgnjfj+agaA==">CgMxLjAyCGguZ2pkZ3hzOAByITF2aGJpWGFpaEpBMDFHdVVIem1WZ0pELWV1OG5pQ195Uw==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Metadata/LabelInfo.xml><?xml version="1.0" encoding="utf-8"?>
<clbl:labelList xmlns:clbl="http://schemas.microsoft.com/office/2020/mipLabelMetadata">
  <clbl:label id="{caece813-0c48-4923-8c62-8676bc93605f}" enabled="0" method="" siteId="{caece813-0c48-4923-8c62-8676bc93605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624</Words>
  <Characters>3560</Characters>
  <Application>Microsoft Office Word</Application>
  <DocSecurity>0</DocSecurity>
  <Lines>29</Lines>
  <Paragraphs>8</Paragraphs>
  <ScaleCrop>false</ScaleCrop>
  <Company>Anschutz Entertainment Group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Kendall Vowels</cp:lastModifiedBy>
  <cp:revision>4</cp:revision>
  <dcterms:created xsi:type="dcterms:W3CDTF">2024-06-21T10:47:00Z</dcterms:created>
  <dcterms:modified xsi:type="dcterms:W3CDTF">2024-06-21T10:48:00Z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2013-06-27T00:00:00Z</vt:filetime>
  </property>
  <property fmtid="{D5CDD505-2E9C-101B-9397-08002B2CF9AE}" pid="3" name="Creator">
    <vt:lpwstr>UKKSTPRNTB1</vt:lpwstr>
  </property>
  <property fmtid="{D5CDD505-2E9C-101B-9397-08002B2CF9AE}" pid="4" name="LastSaved">
    <vt:filetime>2019-04-13T00:00:00Z</vt:filetime>
  </property>
</Properties>
</file>